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pPr>
      <w:r>
        <w:rPr/>
        <w:t>ILLINOIS</w:t>
      </w:r>
      <w:r>
        <w:rPr>
          <w:spacing w:val="-5"/>
        </w:rPr>
        <w:t> </w:t>
      </w:r>
      <w:r>
        <w:rPr/>
        <w:t>AMENDATORY</w:t>
      </w:r>
      <w:r>
        <w:rPr>
          <w:spacing w:val="-5"/>
        </w:rPr>
        <w:t> </w:t>
      </w:r>
      <w:r>
        <w:rPr>
          <w:spacing w:val="-2"/>
        </w:rPr>
        <w:t>ENDORSEMENT</w:t>
      </w:r>
    </w:p>
    <w:p>
      <w:pPr>
        <w:pStyle w:val="BodyText"/>
        <w:tabs>
          <w:tab w:pos="1992" w:val="left" w:leader="none"/>
          <w:tab w:pos="3935" w:val="left" w:leader="none"/>
        </w:tabs>
        <w:spacing w:line="417" w:lineRule="auto" w:before="204"/>
        <w:ind w:left="0" w:right="5611"/>
      </w:pPr>
      <w:r>
        <w:rPr/>
        <w:t>This endorsement, effective</w:t>
        <w:tab/>
        <w:t>forms</w:t>
      </w:r>
      <w:r>
        <w:rPr>
          <w:spacing w:val="-15"/>
        </w:rPr>
        <w:t> </w:t>
      </w:r>
      <w:r>
        <w:rPr/>
        <w:t>part</w:t>
      </w:r>
      <w:r>
        <w:rPr>
          <w:spacing w:val="-15"/>
        </w:rPr>
        <w:t> </w:t>
      </w:r>
      <w:r>
        <w:rPr/>
        <w:t>of policy no.:</w:t>
        <w:tab/>
        <w:t>issued to</w:t>
      </w:r>
    </w:p>
    <w:p>
      <w:pPr>
        <w:pStyle w:val="BodyText"/>
        <w:spacing w:line="276" w:lineRule="exact"/>
        <w:ind w:left="0"/>
      </w:pPr>
      <w:r>
        <w:rPr>
          <w:spacing w:val="-5"/>
        </w:rPr>
        <w:t>by:</w:t>
      </w:r>
    </w:p>
    <w:p>
      <w:pPr>
        <w:pStyle w:val="BodyText"/>
        <w:spacing w:before="197"/>
        <w:ind w:left="0"/>
      </w:pPr>
    </w:p>
    <w:p>
      <w:pPr>
        <w:pStyle w:val="BodyText"/>
        <w:spacing w:line="208" w:lineRule="auto"/>
        <w:ind w:left="0" w:right="354"/>
        <w:jc w:val="both"/>
      </w:pPr>
      <w:r>
        <w:rPr/>
        <w:t>Wherever used in this endorsement: 1) "we", "us", "our", and "Insurer" mean the insurance company which issued this policy;</w:t>
      </w:r>
      <w:r>
        <w:rPr>
          <w:spacing w:val="40"/>
        </w:rPr>
        <w:t> </w:t>
      </w:r>
      <w:r>
        <w:rPr/>
        <w:t>and 2) "you", "your", "Named Insured", and "Insured" mean the Named Corporation, Named Organization, Named Sponsor, Named Insured, or Insured stated in the declarations page; and 3) "Other Insured(s)" means all other persons or entities afforded coverage under the policy.</w:t>
      </w:r>
    </w:p>
    <w:p>
      <w:pPr>
        <w:pStyle w:val="Heading1"/>
        <w:spacing w:before="210"/>
        <w:ind w:left="5"/>
      </w:pPr>
      <w:bookmarkStart w:name="CANCELLATION AND NONRENEWAL" w:id="1"/>
      <w:bookmarkEnd w:id="1"/>
      <w:r>
        <w:rPr>
          <w:b w:val="0"/>
        </w:rPr>
      </w:r>
      <w:r>
        <w:rPr>
          <w:u w:val="single"/>
        </w:rPr>
        <w:t>CANCELLATION</w:t>
      </w:r>
      <w:r>
        <w:rPr>
          <w:spacing w:val="-6"/>
          <w:u w:val="single"/>
        </w:rPr>
        <w:t> </w:t>
      </w:r>
      <w:r>
        <w:rPr>
          <w:u w:val="single"/>
        </w:rPr>
        <w:t>AND</w:t>
      </w:r>
      <w:r>
        <w:rPr>
          <w:spacing w:val="-5"/>
          <w:u w:val="single"/>
        </w:rPr>
        <w:t> </w:t>
      </w:r>
      <w:r>
        <w:rPr>
          <w:spacing w:val="-2"/>
          <w:u w:val="single"/>
        </w:rPr>
        <w:t>NONRENEWAL</w:t>
      </w:r>
    </w:p>
    <w:p>
      <w:pPr>
        <w:pStyle w:val="ListParagraph"/>
        <w:numPr>
          <w:ilvl w:val="0"/>
          <w:numId w:val="1"/>
        </w:numPr>
        <w:tabs>
          <w:tab w:pos="720" w:val="left" w:leader="none"/>
        </w:tabs>
        <w:spacing w:line="417" w:lineRule="auto" w:before="204" w:after="0"/>
        <w:ind w:left="720" w:right="3382" w:hanging="720"/>
        <w:jc w:val="left"/>
        <w:rPr>
          <w:sz w:val="24"/>
        </w:rPr>
      </w:pPr>
      <w:r>
        <w:rPr>
          <w:sz w:val="24"/>
        </w:rPr>
        <w:t>The</w:t>
      </w:r>
      <w:r>
        <w:rPr>
          <w:spacing w:val="-4"/>
          <w:sz w:val="24"/>
        </w:rPr>
        <w:t> </w:t>
      </w:r>
      <w:r>
        <w:rPr>
          <w:sz w:val="24"/>
        </w:rPr>
        <w:t>cancellation</w:t>
      </w:r>
      <w:r>
        <w:rPr>
          <w:spacing w:val="-3"/>
          <w:sz w:val="24"/>
        </w:rPr>
        <w:t> </w:t>
      </w:r>
      <w:r>
        <w:rPr>
          <w:sz w:val="24"/>
        </w:rPr>
        <w:t>provision</w:t>
      </w:r>
      <w:r>
        <w:rPr>
          <w:spacing w:val="-3"/>
          <w:sz w:val="24"/>
        </w:rPr>
        <w:t> </w:t>
      </w:r>
      <w:r>
        <w:rPr>
          <w:sz w:val="24"/>
        </w:rPr>
        <w:t>of</w:t>
      </w:r>
      <w:r>
        <w:rPr>
          <w:spacing w:val="-1"/>
          <w:sz w:val="24"/>
        </w:rPr>
        <w:t> </w:t>
      </w:r>
      <w:r>
        <w:rPr>
          <w:sz w:val="24"/>
        </w:rPr>
        <w:t>this</w:t>
      </w:r>
      <w:r>
        <w:rPr>
          <w:spacing w:val="-4"/>
          <w:sz w:val="24"/>
        </w:rPr>
        <w:t> </w:t>
      </w:r>
      <w:r>
        <w:rPr>
          <w:sz w:val="24"/>
        </w:rPr>
        <w:t>policy</w:t>
      </w:r>
      <w:r>
        <w:rPr>
          <w:spacing w:val="-3"/>
          <w:sz w:val="24"/>
        </w:rPr>
        <w:t> </w:t>
      </w:r>
      <w:r>
        <w:rPr>
          <w:sz w:val="24"/>
        </w:rPr>
        <w:t>is</w:t>
      </w:r>
      <w:r>
        <w:rPr>
          <w:spacing w:val="-9"/>
          <w:sz w:val="24"/>
        </w:rPr>
        <w:t> </w:t>
      </w:r>
      <w:r>
        <w:rPr>
          <w:sz w:val="24"/>
        </w:rPr>
        <w:t>replaced</w:t>
      </w:r>
      <w:r>
        <w:rPr>
          <w:spacing w:val="-3"/>
          <w:sz w:val="24"/>
        </w:rPr>
        <w:t> </w:t>
      </w:r>
      <w:r>
        <w:rPr>
          <w:sz w:val="24"/>
        </w:rPr>
        <w:t>by</w:t>
      </w:r>
      <w:r>
        <w:rPr>
          <w:spacing w:val="-3"/>
          <w:sz w:val="24"/>
        </w:rPr>
        <w:t> </w:t>
      </w:r>
      <w:r>
        <w:rPr>
          <w:sz w:val="24"/>
        </w:rPr>
        <w:t>the</w:t>
      </w:r>
      <w:r>
        <w:rPr>
          <w:spacing w:val="-8"/>
          <w:sz w:val="24"/>
        </w:rPr>
        <w:t> </w:t>
      </w:r>
      <w:r>
        <w:rPr>
          <w:sz w:val="24"/>
        </w:rPr>
        <w:t>following: </w:t>
      </w:r>
      <w:r>
        <w:rPr>
          <w:spacing w:val="-2"/>
          <w:sz w:val="24"/>
        </w:rPr>
        <w:t>CANCELLATION</w:t>
      </w:r>
    </w:p>
    <w:p>
      <w:pPr>
        <w:pStyle w:val="ListParagraph"/>
        <w:numPr>
          <w:ilvl w:val="1"/>
          <w:numId w:val="1"/>
        </w:numPr>
        <w:tabs>
          <w:tab w:pos="1440" w:val="left" w:leader="none"/>
        </w:tabs>
        <w:spacing w:line="208" w:lineRule="auto" w:before="29" w:after="0"/>
        <w:ind w:left="1440" w:right="1077" w:hanging="720"/>
        <w:jc w:val="left"/>
        <w:rPr>
          <w:sz w:val="24"/>
        </w:rPr>
      </w:pPr>
      <w:r>
        <w:rPr>
          <w:sz w:val="24"/>
        </w:rPr>
        <w:t>The Named Insured may cancel this policy by mailing to the Insurer advance written notice of cancellation.</w:t>
      </w:r>
    </w:p>
    <w:p>
      <w:pPr>
        <w:pStyle w:val="ListParagraph"/>
        <w:numPr>
          <w:ilvl w:val="1"/>
          <w:numId w:val="1"/>
        </w:numPr>
        <w:tabs>
          <w:tab w:pos="1440" w:val="left" w:leader="none"/>
        </w:tabs>
        <w:spacing w:line="208" w:lineRule="auto" w:before="240" w:after="0"/>
        <w:ind w:left="1440" w:right="1075" w:hanging="720"/>
        <w:jc w:val="left"/>
        <w:rPr>
          <w:sz w:val="24"/>
        </w:rPr>
      </w:pPr>
      <w:r>
        <w:rPr>
          <w:sz w:val="24"/>
        </w:rPr>
        <w:t>If this policy</w:t>
      </w:r>
      <w:r>
        <w:rPr>
          <w:spacing w:val="-1"/>
          <w:sz w:val="24"/>
        </w:rPr>
        <w:t> </w:t>
      </w:r>
      <w:r>
        <w:rPr>
          <w:sz w:val="24"/>
        </w:rPr>
        <w:t>has been in effect</w:t>
      </w:r>
      <w:r>
        <w:rPr>
          <w:spacing w:val="-1"/>
          <w:sz w:val="24"/>
        </w:rPr>
        <w:t> </w:t>
      </w:r>
      <w:r>
        <w:rPr>
          <w:sz w:val="24"/>
        </w:rPr>
        <w:t>for sixty</w:t>
      </w:r>
      <w:r>
        <w:rPr>
          <w:spacing w:val="-1"/>
          <w:sz w:val="24"/>
        </w:rPr>
        <w:t> </w:t>
      </w:r>
      <w:r>
        <w:rPr>
          <w:sz w:val="24"/>
        </w:rPr>
        <w:t>(60) days</w:t>
      </w:r>
      <w:r>
        <w:rPr>
          <w:spacing w:val="-3"/>
          <w:sz w:val="24"/>
        </w:rPr>
        <w:t> </w:t>
      </w:r>
      <w:r>
        <w:rPr>
          <w:sz w:val="24"/>
        </w:rPr>
        <w:t>or less, the Insurer may cancel this policy by mailing to the Named Insured written notice of cancellation at least:</w:t>
      </w:r>
    </w:p>
    <w:p>
      <w:pPr>
        <w:pStyle w:val="ListParagraph"/>
        <w:numPr>
          <w:ilvl w:val="2"/>
          <w:numId w:val="1"/>
        </w:numPr>
        <w:tabs>
          <w:tab w:pos="2160" w:val="left" w:leader="none"/>
        </w:tabs>
        <w:spacing w:line="208" w:lineRule="auto" w:before="240" w:after="0"/>
        <w:ind w:left="2160" w:right="1794" w:hanging="720"/>
        <w:jc w:val="both"/>
        <w:rPr>
          <w:sz w:val="24"/>
        </w:rPr>
      </w:pPr>
      <w:r>
        <w:rPr>
          <w:sz w:val="24"/>
        </w:rPr>
        <w:t>Ten (10) days before the effective date of cancellation if the Insurer cancels for nonpayment of premium; or</w:t>
      </w:r>
    </w:p>
    <w:p>
      <w:pPr>
        <w:pStyle w:val="ListParagraph"/>
        <w:numPr>
          <w:ilvl w:val="2"/>
          <w:numId w:val="1"/>
        </w:numPr>
        <w:tabs>
          <w:tab w:pos="2160" w:val="left" w:leader="none"/>
        </w:tabs>
        <w:spacing w:line="208" w:lineRule="auto" w:before="239" w:after="0"/>
        <w:ind w:left="2160" w:right="1796" w:hanging="720"/>
        <w:jc w:val="both"/>
        <w:rPr>
          <w:sz w:val="24"/>
        </w:rPr>
      </w:pPr>
      <w:r>
        <w:rPr>
          <w:sz w:val="24"/>
        </w:rPr>
        <w:t>Thirty (30) days before the effective date of cancellation if the Insurer cancels for any other reason.</w:t>
      </w:r>
    </w:p>
    <w:p>
      <w:pPr>
        <w:pStyle w:val="BodyText"/>
        <w:spacing w:line="208" w:lineRule="auto" w:before="240"/>
        <w:ind w:right="549"/>
      </w:pPr>
      <w:r>
        <w:rPr/>
        <w:t>A</w:t>
      </w:r>
      <w:r>
        <w:rPr>
          <w:spacing w:val="-2"/>
        </w:rPr>
        <w:t> </w:t>
      </w:r>
      <w:r>
        <w:rPr/>
        <w:t>copy</w:t>
      </w:r>
      <w:r>
        <w:rPr>
          <w:spacing w:val="-1"/>
        </w:rPr>
        <w:t> </w:t>
      </w:r>
      <w:r>
        <w:rPr/>
        <w:t>of</w:t>
      </w:r>
      <w:r>
        <w:rPr>
          <w:spacing w:val="-4"/>
        </w:rPr>
        <w:t> </w:t>
      </w:r>
      <w:r>
        <w:rPr/>
        <w:t>the</w:t>
      </w:r>
      <w:r>
        <w:rPr>
          <w:spacing w:val="-2"/>
        </w:rPr>
        <w:t> </w:t>
      </w:r>
      <w:r>
        <w:rPr/>
        <w:t>notice</w:t>
      </w:r>
      <w:r>
        <w:rPr>
          <w:spacing w:val="-2"/>
        </w:rPr>
        <w:t> </w:t>
      </w:r>
      <w:r>
        <w:rPr/>
        <w:t>will</w:t>
      </w:r>
      <w:r>
        <w:rPr>
          <w:spacing w:val="-1"/>
        </w:rPr>
        <w:t> </w:t>
      </w:r>
      <w:r>
        <w:rPr/>
        <w:t>also</w:t>
      </w:r>
      <w:r>
        <w:rPr>
          <w:spacing w:val="-1"/>
        </w:rPr>
        <w:t> </w:t>
      </w:r>
      <w:r>
        <w:rPr/>
        <w:t>be</w:t>
      </w:r>
      <w:r>
        <w:rPr>
          <w:spacing w:val="-2"/>
        </w:rPr>
        <w:t> </w:t>
      </w:r>
      <w:r>
        <w:rPr/>
        <w:t>sent</w:t>
      </w:r>
      <w:r>
        <w:rPr>
          <w:spacing w:val="-1"/>
        </w:rPr>
        <w:t> </w:t>
      </w:r>
      <w:r>
        <w:rPr/>
        <w:t>to</w:t>
      </w:r>
      <w:r>
        <w:rPr>
          <w:spacing w:val="-6"/>
        </w:rPr>
        <w:t> </w:t>
      </w:r>
      <w:r>
        <w:rPr/>
        <w:t>the</w:t>
      </w:r>
      <w:r>
        <w:rPr>
          <w:spacing w:val="-7"/>
        </w:rPr>
        <w:t> </w:t>
      </w:r>
      <w:r>
        <w:rPr/>
        <w:t>mortgagee</w:t>
      </w:r>
      <w:r>
        <w:rPr>
          <w:spacing w:val="-2"/>
        </w:rPr>
        <w:t> </w:t>
      </w:r>
      <w:r>
        <w:rPr/>
        <w:t>or lien</w:t>
      </w:r>
      <w:r>
        <w:rPr>
          <w:spacing w:val="-6"/>
        </w:rPr>
        <w:t> </w:t>
      </w:r>
      <w:r>
        <w:rPr/>
        <w:t>holder at</w:t>
      </w:r>
      <w:r>
        <w:rPr>
          <w:spacing w:val="-5"/>
        </w:rPr>
        <w:t> </w:t>
      </w:r>
      <w:r>
        <w:rPr/>
        <w:t>the</w:t>
      </w:r>
      <w:r>
        <w:rPr>
          <w:spacing w:val="-2"/>
        </w:rPr>
        <w:t> </w:t>
      </w:r>
      <w:r>
        <w:rPr/>
        <w:t>last</w:t>
      </w:r>
      <w:r>
        <w:rPr>
          <w:spacing w:val="-1"/>
        </w:rPr>
        <w:t> </w:t>
      </w:r>
      <w:r>
        <w:rPr/>
        <w:t>mailing address known to the Insurer.</w:t>
      </w:r>
    </w:p>
    <w:p>
      <w:pPr>
        <w:pStyle w:val="ListParagraph"/>
        <w:numPr>
          <w:ilvl w:val="1"/>
          <w:numId w:val="1"/>
        </w:numPr>
        <w:tabs>
          <w:tab w:pos="1440" w:val="left" w:leader="none"/>
        </w:tabs>
        <w:spacing w:line="208" w:lineRule="auto" w:before="240" w:after="0"/>
        <w:ind w:left="1440" w:right="1073" w:hanging="720"/>
        <w:jc w:val="left"/>
        <w:rPr>
          <w:sz w:val="24"/>
        </w:rPr>
      </w:pPr>
      <w:r>
        <w:rPr>
          <w:sz w:val="24"/>
        </w:rPr>
        <w:t>If this policy has been in effect for more than sixty (60) days the Insurer may cancel this policy only for one or more of the following reasons:</w:t>
      </w:r>
    </w:p>
    <w:p>
      <w:pPr>
        <w:pStyle w:val="ListParagraph"/>
        <w:numPr>
          <w:ilvl w:val="2"/>
          <w:numId w:val="1"/>
        </w:numPr>
        <w:tabs>
          <w:tab w:pos="2159" w:val="left" w:leader="none"/>
        </w:tabs>
        <w:spacing w:line="240" w:lineRule="auto" w:before="211" w:after="0"/>
        <w:ind w:left="2159" w:right="0" w:hanging="719"/>
        <w:jc w:val="left"/>
        <w:rPr>
          <w:sz w:val="24"/>
        </w:rPr>
      </w:pPr>
      <w:r>
        <w:rPr>
          <w:sz w:val="24"/>
        </w:rPr>
        <w:t>Nonpayment of</w:t>
      </w:r>
      <w:r>
        <w:rPr>
          <w:spacing w:val="3"/>
          <w:sz w:val="24"/>
        </w:rPr>
        <w:t> </w:t>
      </w:r>
      <w:r>
        <w:rPr>
          <w:spacing w:val="-2"/>
          <w:sz w:val="24"/>
        </w:rPr>
        <w:t>premium;</w:t>
      </w:r>
    </w:p>
    <w:p>
      <w:pPr>
        <w:pStyle w:val="ListParagraph"/>
        <w:numPr>
          <w:ilvl w:val="2"/>
          <w:numId w:val="1"/>
        </w:numPr>
        <w:tabs>
          <w:tab w:pos="2159" w:val="left" w:leader="none"/>
        </w:tabs>
        <w:spacing w:line="240" w:lineRule="auto" w:before="204" w:after="0"/>
        <w:ind w:left="2159" w:right="0" w:hanging="719"/>
        <w:jc w:val="left"/>
        <w:rPr>
          <w:sz w:val="24"/>
        </w:rPr>
      </w:pPr>
      <w:r>
        <w:rPr>
          <w:sz w:val="24"/>
        </w:rPr>
        <w:t>The policy</w:t>
      </w:r>
      <w:r>
        <w:rPr>
          <w:spacing w:val="1"/>
          <w:sz w:val="24"/>
        </w:rPr>
        <w:t> </w:t>
      </w:r>
      <w:r>
        <w:rPr>
          <w:sz w:val="24"/>
        </w:rPr>
        <w:t>was obtained</w:t>
      </w:r>
      <w:r>
        <w:rPr>
          <w:spacing w:val="-4"/>
          <w:sz w:val="24"/>
        </w:rPr>
        <w:t> </w:t>
      </w:r>
      <w:r>
        <w:rPr>
          <w:sz w:val="24"/>
        </w:rPr>
        <w:t>through</w:t>
      </w:r>
      <w:r>
        <w:rPr>
          <w:spacing w:val="2"/>
          <w:sz w:val="24"/>
        </w:rPr>
        <w:t> </w:t>
      </w:r>
      <w:r>
        <w:rPr>
          <w:sz w:val="24"/>
        </w:rPr>
        <w:t>a</w:t>
      </w:r>
      <w:r>
        <w:rPr>
          <w:spacing w:val="-5"/>
          <w:sz w:val="24"/>
        </w:rPr>
        <w:t> </w:t>
      </w:r>
      <w:r>
        <w:rPr>
          <w:sz w:val="24"/>
        </w:rPr>
        <w:t>material</w:t>
      </w:r>
      <w:r>
        <w:rPr>
          <w:spacing w:val="-2"/>
          <w:sz w:val="24"/>
        </w:rPr>
        <w:t> misrepresentation;</w:t>
      </w:r>
    </w:p>
    <w:p>
      <w:pPr>
        <w:pStyle w:val="ListParagraph"/>
        <w:numPr>
          <w:ilvl w:val="2"/>
          <w:numId w:val="1"/>
        </w:numPr>
        <w:tabs>
          <w:tab w:pos="2160" w:val="left" w:leader="none"/>
        </w:tabs>
        <w:spacing w:line="208" w:lineRule="auto" w:before="233" w:after="0"/>
        <w:ind w:left="2160" w:right="1795" w:hanging="720"/>
        <w:jc w:val="both"/>
        <w:rPr>
          <w:sz w:val="24"/>
        </w:rPr>
      </w:pPr>
      <w:r>
        <w:rPr>
          <w:sz w:val="24"/>
        </w:rPr>
        <w:t>The Named Insured or Other Insured(s) have violated any of the terms and conditions of the policy;</w:t>
      </w:r>
    </w:p>
    <w:p>
      <w:pPr>
        <w:pStyle w:val="ListParagraph"/>
        <w:numPr>
          <w:ilvl w:val="2"/>
          <w:numId w:val="1"/>
        </w:numPr>
        <w:tabs>
          <w:tab w:pos="2159" w:val="left" w:leader="none"/>
        </w:tabs>
        <w:spacing w:line="240" w:lineRule="auto" w:before="211" w:after="0"/>
        <w:ind w:left="2159" w:right="0" w:hanging="719"/>
        <w:jc w:val="left"/>
        <w:rPr>
          <w:sz w:val="24"/>
        </w:rPr>
      </w:pPr>
      <w:r>
        <w:rPr>
          <w:sz w:val="24"/>
        </w:rPr>
        <w:t>The</w:t>
      </w:r>
      <w:r>
        <w:rPr>
          <w:spacing w:val="-2"/>
          <w:sz w:val="24"/>
        </w:rPr>
        <w:t> </w:t>
      </w:r>
      <w:r>
        <w:rPr>
          <w:sz w:val="24"/>
        </w:rPr>
        <w:t>risk</w:t>
      </w:r>
      <w:r>
        <w:rPr>
          <w:spacing w:val="-1"/>
          <w:sz w:val="24"/>
        </w:rPr>
        <w:t> </w:t>
      </w:r>
      <w:r>
        <w:rPr>
          <w:sz w:val="24"/>
        </w:rPr>
        <w:t>originally</w:t>
      </w:r>
      <w:r>
        <w:rPr>
          <w:spacing w:val="-1"/>
          <w:sz w:val="24"/>
        </w:rPr>
        <w:t> </w:t>
      </w:r>
      <w:r>
        <w:rPr>
          <w:sz w:val="24"/>
        </w:rPr>
        <w:t>accepted</w:t>
      </w:r>
      <w:r>
        <w:rPr>
          <w:spacing w:val="-1"/>
          <w:sz w:val="24"/>
        </w:rPr>
        <w:t> </w:t>
      </w:r>
      <w:r>
        <w:rPr>
          <w:sz w:val="24"/>
        </w:rPr>
        <w:t>has</w:t>
      </w:r>
      <w:r>
        <w:rPr>
          <w:spacing w:val="-3"/>
          <w:sz w:val="24"/>
        </w:rPr>
        <w:t> </w:t>
      </w:r>
      <w:r>
        <w:rPr>
          <w:sz w:val="24"/>
        </w:rPr>
        <w:t>measurably </w:t>
      </w:r>
      <w:r>
        <w:rPr>
          <w:spacing w:val="-2"/>
          <w:sz w:val="24"/>
        </w:rPr>
        <w:t>increased;</w:t>
      </w:r>
    </w:p>
    <w:p>
      <w:pPr>
        <w:pStyle w:val="ListParagraph"/>
        <w:numPr>
          <w:ilvl w:val="2"/>
          <w:numId w:val="1"/>
        </w:numPr>
        <w:tabs>
          <w:tab w:pos="2160" w:val="left" w:leader="none"/>
        </w:tabs>
        <w:spacing w:line="208" w:lineRule="auto" w:before="233" w:after="0"/>
        <w:ind w:left="2160" w:right="1793" w:hanging="720"/>
        <w:jc w:val="both"/>
        <w:rPr>
          <w:sz w:val="24"/>
        </w:rPr>
      </w:pPr>
      <w:r>
        <w:rPr>
          <w:sz w:val="24"/>
        </w:rPr>
        <w:t>Certification to the Director of Insurance of the loss of reinsurance by the Insurer which provided coverage to the Insurer for all or a substantial part of the underlying risk insured; or</w:t>
      </w:r>
    </w:p>
    <w:p>
      <w:pPr>
        <w:pStyle w:val="ListParagraph"/>
        <w:numPr>
          <w:ilvl w:val="2"/>
          <w:numId w:val="1"/>
        </w:numPr>
        <w:tabs>
          <w:tab w:pos="2158" w:val="left" w:leader="none"/>
          <w:tab w:pos="2160" w:val="left" w:leader="none"/>
        </w:tabs>
        <w:spacing w:line="208" w:lineRule="auto" w:before="239" w:after="0"/>
        <w:ind w:left="2160" w:right="1797" w:hanging="720"/>
        <w:jc w:val="both"/>
        <w:rPr>
          <w:sz w:val="24"/>
        </w:rPr>
      </w:pPr>
      <w:r>
        <w:rPr>
          <w:sz w:val="24"/>
        </w:rPr>
        <w:t>A determination by the Director that the continuation of the policy could place the Insurer in violation of the insurance laws of this State.</w:t>
      </w:r>
    </w:p>
    <w:p>
      <w:pPr>
        <w:pStyle w:val="ListParagraph"/>
        <w:spacing w:after="0" w:line="208" w:lineRule="auto"/>
        <w:jc w:val="both"/>
        <w:rPr>
          <w:sz w:val="24"/>
        </w:rPr>
        <w:sectPr>
          <w:footerReference w:type="default" r:id="rId5"/>
          <w:type w:val="continuous"/>
          <w:pgSz w:w="12240" w:h="15840"/>
          <w:pgMar w:header="0" w:footer="806" w:top="1340" w:bottom="1000" w:left="720" w:right="720"/>
          <w:pgNumType w:start="1"/>
        </w:sectPr>
      </w:pPr>
    </w:p>
    <w:p>
      <w:pPr>
        <w:pStyle w:val="BodyText"/>
        <w:spacing w:line="208" w:lineRule="auto" w:before="97"/>
        <w:ind w:right="1792"/>
        <w:jc w:val="both"/>
      </w:pPr>
      <w:r>
        <w:rPr/>
        <w:t>If the Insurer cancels this policy based on one or more of the above reasons except for nonpayment of premium, the Insurer will mail written notice to the Named Insured at least sixty (60) days before the effective date of cancellation.</w:t>
      </w:r>
      <w:r>
        <w:rPr>
          <w:spacing w:val="40"/>
        </w:rPr>
        <w:t> </w:t>
      </w:r>
      <w:r>
        <w:rPr/>
        <w:t>When cancellation is for nonpayment of premium, the Insurer will mail notice at least ten (10) days before</w:t>
      </w:r>
      <w:r>
        <w:rPr>
          <w:spacing w:val="-1"/>
        </w:rPr>
        <w:t> </w:t>
      </w:r>
      <w:r>
        <w:rPr/>
        <w:t>the effective date of cancellation.</w:t>
      </w:r>
    </w:p>
    <w:p>
      <w:pPr>
        <w:pStyle w:val="ListParagraph"/>
        <w:numPr>
          <w:ilvl w:val="1"/>
          <w:numId w:val="1"/>
        </w:numPr>
        <w:tabs>
          <w:tab w:pos="1440" w:val="left" w:leader="none"/>
        </w:tabs>
        <w:spacing w:line="208" w:lineRule="auto" w:before="239" w:after="0"/>
        <w:ind w:left="1440" w:right="1071" w:hanging="720"/>
        <w:jc w:val="both"/>
        <w:rPr>
          <w:sz w:val="24"/>
        </w:rPr>
      </w:pPr>
      <w:r>
        <w:rPr>
          <w:sz w:val="24"/>
        </w:rPr>
        <w:t>The Insurer will mail the notice to the Named Insured and the agent or broker at the last addresses known to the Insurer.</w:t>
      </w:r>
    </w:p>
    <w:p>
      <w:pPr>
        <w:pStyle w:val="ListParagraph"/>
        <w:numPr>
          <w:ilvl w:val="1"/>
          <w:numId w:val="1"/>
        </w:numPr>
        <w:tabs>
          <w:tab w:pos="1440" w:val="left" w:leader="none"/>
        </w:tabs>
        <w:spacing w:line="208" w:lineRule="auto" w:before="240" w:after="0"/>
        <w:ind w:left="1440" w:right="1073" w:hanging="720"/>
        <w:jc w:val="both"/>
        <w:rPr>
          <w:sz w:val="24"/>
        </w:rPr>
      </w:pPr>
      <w:r>
        <w:rPr>
          <w:sz w:val="24"/>
        </w:rPr>
        <w:t>Notice of cancellation will state the effective date of cancellation and a specific explanation of the reason or reasons for cancellation. The policy period will end on that date.</w:t>
      </w:r>
    </w:p>
    <w:p>
      <w:pPr>
        <w:pStyle w:val="ListParagraph"/>
        <w:numPr>
          <w:ilvl w:val="1"/>
          <w:numId w:val="1"/>
        </w:numPr>
        <w:tabs>
          <w:tab w:pos="1440" w:val="left" w:leader="none"/>
        </w:tabs>
        <w:spacing w:line="208" w:lineRule="auto" w:before="240" w:after="0"/>
        <w:ind w:left="1440" w:right="1073" w:hanging="720"/>
        <w:jc w:val="both"/>
        <w:rPr>
          <w:sz w:val="24"/>
        </w:rPr>
      </w:pPr>
      <w:r>
        <w:rPr>
          <w:sz w:val="24"/>
        </w:rPr>
        <w:t>If this policy is cancelled, the Insurer will send the Named Insured any premium refund due.</w:t>
      </w:r>
      <w:r>
        <w:rPr>
          <w:spacing w:val="40"/>
          <w:sz w:val="24"/>
        </w:rPr>
        <w:t> </w:t>
      </w:r>
      <w:r>
        <w:rPr>
          <w:sz w:val="24"/>
        </w:rPr>
        <w:t>If the Insurer cancels, the refund will be pro rata.</w:t>
      </w:r>
      <w:r>
        <w:rPr>
          <w:spacing w:val="40"/>
          <w:sz w:val="24"/>
        </w:rPr>
        <w:t> </w:t>
      </w:r>
      <w:r>
        <w:rPr>
          <w:sz w:val="24"/>
        </w:rPr>
        <w:t>If the Named Insured cancels, the refund may be less than pro rata.</w:t>
      </w:r>
      <w:r>
        <w:rPr>
          <w:spacing w:val="40"/>
          <w:sz w:val="24"/>
        </w:rPr>
        <w:t> </w:t>
      </w:r>
      <w:r>
        <w:rPr>
          <w:sz w:val="24"/>
        </w:rPr>
        <w:t>The cancellation will be effective even if the Insurer has not made or offered a refund.</w:t>
      </w:r>
    </w:p>
    <w:p>
      <w:pPr>
        <w:pStyle w:val="ListParagraph"/>
        <w:numPr>
          <w:ilvl w:val="1"/>
          <w:numId w:val="1"/>
        </w:numPr>
        <w:tabs>
          <w:tab w:pos="1439" w:val="left" w:leader="none"/>
        </w:tabs>
        <w:spacing w:line="258" w:lineRule="exact" w:before="210" w:after="0"/>
        <w:ind w:left="1439" w:right="0" w:hanging="719"/>
        <w:jc w:val="left"/>
        <w:rPr>
          <w:sz w:val="24"/>
        </w:rPr>
      </w:pPr>
      <w:r>
        <w:rPr>
          <w:sz w:val="24"/>
        </w:rPr>
        <w:t>Proof</w:t>
      </w:r>
      <w:r>
        <w:rPr>
          <w:spacing w:val="21"/>
          <w:sz w:val="24"/>
        </w:rPr>
        <w:t> </w:t>
      </w:r>
      <w:r>
        <w:rPr>
          <w:sz w:val="24"/>
        </w:rPr>
        <w:t>of</w:t>
      </w:r>
      <w:r>
        <w:rPr>
          <w:spacing w:val="21"/>
          <w:sz w:val="24"/>
        </w:rPr>
        <w:t> </w:t>
      </w:r>
      <w:r>
        <w:rPr>
          <w:sz w:val="24"/>
        </w:rPr>
        <w:t>mailing</w:t>
      </w:r>
      <w:r>
        <w:rPr>
          <w:spacing w:val="19"/>
          <w:sz w:val="24"/>
        </w:rPr>
        <w:t> </w:t>
      </w:r>
      <w:r>
        <w:rPr>
          <w:sz w:val="24"/>
        </w:rPr>
        <w:t>on</w:t>
      </w:r>
      <w:r>
        <w:rPr>
          <w:spacing w:val="20"/>
          <w:sz w:val="24"/>
        </w:rPr>
        <w:t> </w:t>
      </w:r>
      <w:r>
        <w:rPr>
          <w:sz w:val="24"/>
        </w:rPr>
        <w:t>a</w:t>
      </w:r>
      <w:r>
        <w:rPr>
          <w:spacing w:val="18"/>
          <w:sz w:val="24"/>
        </w:rPr>
        <w:t> </w:t>
      </w:r>
      <w:r>
        <w:rPr>
          <w:sz w:val="24"/>
        </w:rPr>
        <w:t>recognized</w:t>
      </w:r>
      <w:r>
        <w:rPr>
          <w:spacing w:val="19"/>
          <w:sz w:val="24"/>
        </w:rPr>
        <w:t> </w:t>
      </w:r>
      <w:r>
        <w:rPr>
          <w:sz w:val="24"/>
        </w:rPr>
        <w:t>U.S.</w:t>
      </w:r>
      <w:r>
        <w:rPr>
          <w:spacing w:val="22"/>
          <w:sz w:val="24"/>
        </w:rPr>
        <w:t> </w:t>
      </w:r>
      <w:r>
        <w:rPr>
          <w:sz w:val="24"/>
        </w:rPr>
        <w:t>Post</w:t>
      </w:r>
      <w:r>
        <w:rPr>
          <w:spacing w:val="25"/>
          <w:sz w:val="24"/>
        </w:rPr>
        <w:t> </w:t>
      </w:r>
      <w:r>
        <w:rPr>
          <w:sz w:val="24"/>
        </w:rPr>
        <w:t>Office</w:t>
      </w:r>
      <w:r>
        <w:rPr>
          <w:spacing w:val="23"/>
          <w:sz w:val="24"/>
        </w:rPr>
        <w:t> </w:t>
      </w:r>
      <w:r>
        <w:rPr>
          <w:sz w:val="24"/>
        </w:rPr>
        <w:t>form</w:t>
      </w:r>
      <w:r>
        <w:rPr>
          <w:spacing w:val="20"/>
          <w:sz w:val="24"/>
        </w:rPr>
        <w:t> </w:t>
      </w:r>
      <w:r>
        <w:rPr>
          <w:sz w:val="24"/>
        </w:rPr>
        <w:t>or</w:t>
      </w:r>
      <w:r>
        <w:rPr>
          <w:spacing w:val="21"/>
          <w:sz w:val="24"/>
        </w:rPr>
        <w:t> </w:t>
      </w:r>
      <w:r>
        <w:rPr>
          <w:sz w:val="24"/>
        </w:rPr>
        <w:t>a</w:t>
      </w:r>
      <w:r>
        <w:rPr>
          <w:spacing w:val="19"/>
          <w:sz w:val="24"/>
        </w:rPr>
        <w:t> </w:t>
      </w:r>
      <w:r>
        <w:rPr>
          <w:sz w:val="24"/>
        </w:rPr>
        <w:t>form</w:t>
      </w:r>
      <w:r>
        <w:rPr>
          <w:spacing w:val="20"/>
          <w:sz w:val="24"/>
        </w:rPr>
        <w:t> </w:t>
      </w:r>
      <w:r>
        <w:rPr>
          <w:sz w:val="24"/>
        </w:rPr>
        <w:t>acceptable</w:t>
      </w:r>
      <w:r>
        <w:rPr>
          <w:spacing w:val="23"/>
          <w:sz w:val="24"/>
        </w:rPr>
        <w:t> </w:t>
      </w:r>
      <w:r>
        <w:rPr>
          <w:sz w:val="24"/>
        </w:rPr>
        <w:t>to</w:t>
      </w:r>
      <w:r>
        <w:rPr>
          <w:spacing w:val="20"/>
          <w:sz w:val="24"/>
        </w:rPr>
        <w:t> </w:t>
      </w:r>
      <w:r>
        <w:rPr>
          <w:spacing w:val="-5"/>
          <w:sz w:val="24"/>
        </w:rPr>
        <w:t>the</w:t>
      </w:r>
    </w:p>
    <w:p>
      <w:pPr>
        <w:pStyle w:val="BodyText"/>
        <w:spacing w:line="208" w:lineRule="auto" w:before="11"/>
        <w:ind w:right="549"/>
      </w:pPr>
      <w:r>
        <w:rPr/>
        <w:t>U.S. Post Office or other commercial mail delivery service will be maintained by the Insurer and will be sufficient proof of notice.</w:t>
      </w:r>
    </w:p>
    <w:p>
      <w:pPr>
        <w:pStyle w:val="ListParagraph"/>
        <w:numPr>
          <w:ilvl w:val="0"/>
          <w:numId w:val="1"/>
        </w:numPr>
        <w:tabs>
          <w:tab w:pos="719" w:val="left" w:leader="none"/>
        </w:tabs>
        <w:spacing w:line="240" w:lineRule="auto" w:before="211" w:after="0"/>
        <w:ind w:left="719" w:right="0" w:hanging="719"/>
        <w:jc w:val="left"/>
        <w:rPr>
          <w:sz w:val="24"/>
        </w:rPr>
      </w:pPr>
      <w:r>
        <w:rPr>
          <w:sz w:val="24"/>
        </w:rPr>
        <w:t>The</w:t>
      </w:r>
      <w:r>
        <w:rPr>
          <w:spacing w:val="-3"/>
          <w:sz w:val="24"/>
        </w:rPr>
        <w:t> </w:t>
      </w:r>
      <w:r>
        <w:rPr>
          <w:sz w:val="24"/>
        </w:rPr>
        <w:t>nonrenewal</w:t>
      </w:r>
      <w:r>
        <w:rPr>
          <w:spacing w:val="1"/>
          <w:sz w:val="24"/>
        </w:rPr>
        <w:t> </w:t>
      </w:r>
      <w:r>
        <w:rPr>
          <w:sz w:val="24"/>
        </w:rPr>
        <w:t>provision</w:t>
      </w:r>
      <w:r>
        <w:rPr>
          <w:spacing w:val="1"/>
          <w:sz w:val="24"/>
        </w:rPr>
        <w:t> </w:t>
      </w:r>
      <w:r>
        <w:rPr>
          <w:sz w:val="24"/>
        </w:rPr>
        <w:t>of</w:t>
      </w:r>
      <w:r>
        <w:rPr>
          <w:spacing w:val="-2"/>
          <w:sz w:val="24"/>
        </w:rPr>
        <w:t> </w:t>
      </w:r>
      <w:r>
        <w:rPr>
          <w:sz w:val="24"/>
        </w:rPr>
        <w:t>this</w:t>
      </w:r>
      <w:r>
        <w:rPr>
          <w:spacing w:val="-2"/>
          <w:sz w:val="24"/>
        </w:rPr>
        <w:t> </w:t>
      </w:r>
      <w:r>
        <w:rPr>
          <w:sz w:val="24"/>
        </w:rPr>
        <w:t>policy</w:t>
      </w:r>
      <w:r>
        <w:rPr>
          <w:spacing w:val="-4"/>
          <w:sz w:val="24"/>
        </w:rPr>
        <w:t> </w:t>
      </w:r>
      <w:r>
        <w:rPr>
          <w:sz w:val="24"/>
        </w:rPr>
        <w:t>is</w:t>
      </w:r>
      <w:r>
        <w:rPr>
          <w:spacing w:val="-1"/>
          <w:sz w:val="24"/>
        </w:rPr>
        <w:t> </w:t>
      </w:r>
      <w:r>
        <w:rPr>
          <w:sz w:val="24"/>
        </w:rPr>
        <w:t>replaced</w:t>
      </w:r>
      <w:r>
        <w:rPr>
          <w:spacing w:val="1"/>
          <w:sz w:val="24"/>
        </w:rPr>
        <w:t> </w:t>
      </w:r>
      <w:r>
        <w:rPr>
          <w:sz w:val="24"/>
        </w:rPr>
        <w:t>by</w:t>
      </w:r>
      <w:r>
        <w:rPr>
          <w:spacing w:val="1"/>
          <w:sz w:val="24"/>
        </w:rPr>
        <w:t> </w:t>
      </w:r>
      <w:r>
        <w:rPr>
          <w:sz w:val="24"/>
        </w:rPr>
        <w:t>the</w:t>
      </w:r>
      <w:r>
        <w:rPr>
          <w:spacing w:val="-5"/>
          <w:sz w:val="24"/>
        </w:rPr>
        <w:t> </w:t>
      </w:r>
      <w:r>
        <w:rPr>
          <w:spacing w:val="-2"/>
          <w:sz w:val="24"/>
        </w:rPr>
        <w:t>following:</w:t>
      </w:r>
    </w:p>
    <w:p>
      <w:pPr>
        <w:pStyle w:val="Heading1"/>
        <w:spacing w:before="204"/>
        <w:ind w:left="720" w:right="0"/>
        <w:jc w:val="left"/>
      </w:pPr>
      <w:bookmarkStart w:name="NONRENEWAL" w:id="2"/>
      <w:bookmarkEnd w:id="2"/>
      <w:r>
        <w:rPr>
          <w:b w:val="0"/>
        </w:rPr>
      </w:r>
      <w:r>
        <w:rPr>
          <w:spacing w:val="-2"/>
        </w:rPr>
        <w:t>NONRENEWAL</w:t>
      </w:r>
    </w:p>
    <w:p>
      <w:pPr>
        <w:pStyle w:val="ListParagraph"/>
        <w:numPr>
          <w:ilvl w:val="1"/>
          <w:numId w:val="1"/>
        </w:numPr>
        <w:tabs>
          <w:tab w:pos="1440" w:val="left" w:leader="none"/>
        </w:tabs>
        <w:spacing w:line="208" w:lineRule="auto" w:before="233" w:after="0"/>
        <w:ind w:left="1440" w:right="1071" w:hanging="720"/>
        <w:jc w:val="both"/>
        <w:rPr>
          <w:sz w:val="24"/>
        </w:rPr>
      </w:pPr>
      <w:r>
        <w:rPr>
          <w:sz w:val="24"/>
        </w:rPr>
        <w:t>If the Insurer decides not to renew this policy, the Insurer will mail written notice stating the reason for nonrenewal to the Named Insured's last mailing address known to the Insurer at least sixty (60) days before</w:t>
      </w:r>
      <w:r>
        <w:rPr>
          <w:spacing w:val="-1"/>
          <w:sz w:val="24"/>
        </w:rPr>
        <w:t> </w:t>
      </w:r>
      <w:r>
        <w:rPr>
          <w:sz w:val="24"/>
        </w:rPr>
        <w:t>the expiration date of the policy.</w:t>
      </w:r>
      <w:r>
        <w:rPr>
          <w:spacing w:val="40"/>
          <w:sz w:val="24"/>
        </w:rPr>
        <w:t> </w:t>
      </w:r>
      <w:r>
        <w:rPr>
          <w:sz w:val="24"/>
        </w:rPr>
        <w:t>A copy of the notice will also be sent to:</w:t>
      </w:r>
    </w:p>
    <w:p>
      <w:pPr>
        <w:pStyle w:val="BodyText"/>
        <w:spacing w:before="175"/>
        <w:ind w:left="0"/>
      </w:pPr>
    </w:p>
    <w:p>
      <w:pPr>
        <w:pStyle w:val="ListParagraph"/>
        <w:numPr>
          <w:ilvl w:val="2"/>
          <w:numId w:val="1"/>
        </w:numPr>
        <w:tabs>
          <w:tab w:pos="2159" w:val="left" w:leader="none"/>
        </w:tabs>
        <w:spacing w:line="240" w:lineRule="auto" w:before="0" w:after="0"/>
        <w:ind w:left="2159" w:right="0" w:hanging="719"/>
        <w:jc w:val="left"/>
        <w:rPr>
          <w:sz w:val="24"/>
        </w:rPr>
      </w:pPr>
      <w:r>
        <w:rPr>
          <w:sz w:val="24"/>
        </w:rPr>
        <w:t>The</w:t>
      </w:r>
      <w:r>
        <w:rPr>
          <w:spacing w:val="-2"/>
          <w:sz w:val="24"/>
        </w:rPr>
        <w:t> </w:t>
      </w:r>
      <w:r>
        <w:rPr>
          <w:sz w:val="24"/>
        </w:rPr>
        <w:t>broker,</w:t>
      </w:r>
      <w:r>
        <w:rPr>
          <w:spacing w:val="2"/>
          <w:sz w:val="24"/>
        </w:rPr>
        <w:t> </w:t>
      </w:r>
      <w:r>
        <w:rPr>
          <w:sz w:val="24"/>
        </w:rPr>
        <w:t>if</w:t>
      </w:r>
      <w:r>
        <w:rPr>
          <w:spacing w:val="2"/>
          <w:sz w:val="24"/>
        </w:rPr>
        <w:t> </w:t>
      </w:r>
      <w:r>
        <w:rPr>
          <w:sz w:val="24"/>
        </w:rPr>
        <w:t>known</w:t>
      </w:r>
      <w:r>
        <w:rPr>
          <w:spacing w:val="-5"/>
          <w:sz w:val="24"/>
        </w:rPr>
        <w:t> </w:t>
      </w:r>
      <w:r>
        <w:rPr>
          <w:sz w:val="24"/>
        </w:rPr>
        <w:t>to the</w:t>
      </w:r>
      <w:r>
        <w:rPr>
          <w:spacing w:val="-6"/>
          <w:sz w:val="24"/>
        </w:rPr>
        <w:t> </w:t>
      </w:r>
      <w:r>
        <w:rPr>
          <w:sz w:val="24"/>
        </w:rPr>
        <w:t>Insurer,</w:t>
      </w:r>
      <w:r>
        <w:rPr>
          <w:spacing w:val="2"/>
          <w:sz w:val="24"/>
        </w:rPr>
        <w:t> </w:t>
      </w:r>
      <w:r>
        <w:rPr>
          <w:sz w:val="24"/>
        </w:rPr>
        <w:t>or</w:t>
      </w:r>
      <w:r>
        <w:rPr>
          <w:spacing w:val="2"/>
          <w:sz w:val="24"/>
        </w:rPr>
        <w:t> </w:t>
      </w:r>
      <w:r>
        <w:rPr>
          <w:sz w:val="24"/>
        </w:rPr>
        <w:t>the</w:t>
      </w:r>
      <w:r>
        <w:rPr>
          <w:spacing w:val="-1"/>
          <w:sz w:val="24"/>
        </w:rPr>
        <w:t> </w:t>
      </w:r>
      <w:r>
        <w:rPr>
          <w:sz w:val="24"/>
        </w:rPr>
        <w:t>agent</w:t>
      </w:r>
      <w:r>
        <w:rPr>
          <w:spacing w:val="-4"/>
          <w:sz w:val="24"/>
        </w:rPr>
        <w:t> </w:t>
      </w:r>
      <w:r>
        <w:rPr>
          <w:sz w:val="24"/>
        </w:rPr>
        <w:t>of</w:t>
      </w:r>
      <w:r>
        <w:rPr>
          <w:spacing w:val="-3"/>
          <w:sz w:val="24"/>
        </w:rPr>
        <w:t> </w:t>
      </w:r>
      <w:r>
        <w:rPr>
          <w:sz w:val="24"/>
        </w:rPr>
        <w:t>record; </w:t>
      </w:r>
      <w:r>
        <w:rPr>
          <w:spacing w:val="-5"/>
          <w:sz w:val="24"/>
        </w:rPr>
        <w:t>and</w:t>
      </w:r>
    </w:p>
    <w:p>
      <w:pPr>
        <w:pStyle w:val="ListParagraph"/>
        <w:numPr>
          <w:ilvl w:val="2"/>
          <w:numId w:val="1"/>
        </w:numPr>
        <w:tabs>
          <w:tab w:pos="2160" w:val="left" w:leader="none"/>
        </w:tabs>
        <w:spacing w:line="208" w:lineRule="auto" w:before="233" w:after="0"/>
        <w:ind w:left="2160" w:right="1798" w:hanging="720"/>
        <w:jc w:val="left"/>
        <w:rPr>
          <w:sz w:val="24"/>
        </w:rPr>
      </w:pPr>
      <w:r>
        <w:rPr>
          <w:sz w:val="24"/>
        </w:rPr>
        <w:t>The last known</w:t>
      </w:r>
      <w:r>
        <w:rPr>
          <w:spacing w:val="-1"/>
          <w:sz w:val="24"/>
        </w:rPr>
        <w:t> </w:t>
      </w:r>
      <w:r>
        <w:rPr>
          <w:sz w:val="24"/>
        </w:rPr>
        <w:t>mortgagee or lienholder named in</w:t>
      </w:r>
      <w:r>
        <w:rPr>
          <w:spacing w:val="-6"/>
          <w:sz w:val="24"/>
        </w:rPr>
        <w:t> </w:t>
      </w:r>
      <w:r>
        <w:rPr>
          <w:sz w:val="24"/>
        </w:rPr>
        <w:t>the policy at</w:t>
      </w:r>
      <w:r>
        <w:rPr>
          <w:spacing w:val="-1"/>
          <w:sz w:val="24"/>
        </w:rPr>
        <w:t> </w:t>
      </w:r>
      <w:r>
        <w:rPr>
          <w:sz w:val="24"/>
        </w:rPr>
        <w:t>the last mailing address known to the Insurer.</w:t>
      </w:r>
    </w:p>
    <w:p>
      <w:pPr>
        <w:pStyle w:val="BodyText"/>
        <w:spacing w:line="208" w:lineRule="auto" w:before="240"/>
        <w:ind w:right="1792"/>
        <w:jc w:val="both"/>
      </w:pPr>
      <w:r>
        <w:rPr/>
        <w:t>Proof of mailing on a recognized U.S. Post Office form or a form acceptable</w:t>
      </w:r>
      <w:r>
        <w:rPr>
          <w:spacing w:val="40"/>
        </w:rPr>
        <w:t> </w:t>
      </w:r>
      <w:r>
        <w:rPr/>
        <w:t>to the U.S. Post Office or other commercial mail delivery service will be maintained by the Insurer and will be sufficient proof of notice.</w:t>
      </w:r>
    </w:p>
    <w:p>
      <w:pPr>
        <w:pStyle w:val="BodyText"/>
        <w:spacing w:line="208" w:lineRule="auto" w:before="239"/>
        <w:ind w:right="1797"/>
        <w:jc w:val="both"/>
      </w:pPr>
      <w:r>
        <w:rPr/>
        <w:t>This paragraph does not apply if the Insurer has manifested a willingness to renew directly to the Named Insured.</w:t>
      </w:r>
    </w:p>
    <w:p>
      <w:pPr>
        <w:pStyle w:val="BodyText"/>
        <w:spacing w:before="211"/>
        <w:ind w:left="0"/>
      </w:pPr>
      <w:r>
        <w:rPr/>
        <w:t>All</w:t>
      </w:r>
      <w:r>
        <w:rPr>
          <w:spacing w:val="-4"/>
        </w:rPr>
        <w:t> </w:t>
      </w:r>
      <w:r>
        <w:rPr/>
        <w:t>other</w:t>
      </w:r>
      <w:r>
        <w:rPr>
          <w:spacing w:val="-5"/>
        </w:rPr>
        <w:t> </w:t>
      </w:r>
      <w:r>
        <w:rPr/>
        <w:t>terms, conditions</w:t>
      </w:r>
      <w:r>
        <w:rPr>
          <w:spacing w:val="-4"/>
        </w:rPr>
        <w:t> </w:t>
      </w:r>
      <w:r>
        <w:rPr/>
        <w:t>and</w:t>
      </w:r>
      <w:r>
        <w:rPr>
          <w:spacing w:val="-2"/>
        </w:rPr>
        <w:t> </w:t>
      </w:r>
      <w:r>
        <w:rPr/>
        <w:t>exclusions</w:t>
      </w:r>
      <w:r>
        <w:rPr>
          <w:spacing w:val="-4"/>
        </w:rPr>
        <w:t> </w:t>
      </w:r>
      <w:r>
        <w:rPr/>
        <w:t>shall</w:t>
      </w:r>
      <w:r>
        <w:rPr>
          <w:spacing w:val="-2"/>
        </w:rPr>
        <w:t> </w:t>
      </w:r>
      <w:r>
        <w:rPr/>
        <w:t>remain</w:t>
      </w:r>
      <w:r>
        <w:rPr>
          <w:spacing w:val="-1"/>
        </w:rPr>
        <w:t> </w:t>
      </w:r>
      <w:r>
        <w:rPr>
          <w:spacing w:val="-2"/>
        </w:rPr>
        <w:t>unchanged.</w:t>
      </w:r>
    </w:p>
    <w:p>
      <w:pPr>
        <w:pStyle w:val="BodyText"/>
        <w:ind w:left="0"/>
        <w:rPr>
          <w:sz w:val="20"/>
        </w:rPr>
      </w:pPr>
    </w:p>
    <w:p>
      <w:pPr>
        <w:pStyle w:val="BodyText"/>
        <w:ind w:left="0"/>
        <w:rPr>
          <w:sz w:val="20"/>
        </w:rPr>
      </w:pPr>
    </w:p>
    <w:p>
      <w:pPr>
        <w:pStyle w:val="BodyText"/>
        <w:spacing w:before="1"/>
        <w:ind w:left="0"/>
        <w:rPr>
          <w:sz w:val="20"/>
        </w:rPr>
      </w:pPr>
      <w:r>
        <w:rPr>
          <w:sz w:val="20"/>
        </w:rPr>
        <mc:AlternateContent>
          <mc:Choice Requires="wps">
            <w:drawing>
              <wp:anchor distT="0" distB="0" distL="0" distR="0" allowOverlap="1" layoutInCell="1" locked="0" behindDoc="1" simplePos="0" relativeHeight="487587840">
                <wp:simplePos x="0" y="0"/>
                <wp:positionH relativeFrom="page">
                  <wp:posOffset>3200400</wp:posOffset>
                </wp:positionH>
                <wp:positionV relativeFrom="paragraph">
                  <wp:posOffset>162254</wp:posOffset>
                </wp:positionV>
                <wp:extent cx="2895600" cy="127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2895600" cy="1270"/>
                        </a:xfrm>
                        <a:custGeom>
                          <a:avLst/>
                          <a:gdLst/>
                          <a:ahLst/>
                          <a:cxnLst/>
                          <a:rect l="l" t="t" r="r" b="b"/>
                          <a:pathLst>
                            <a:path w="2895600" h="0">
                              <a:moveTo>
                                <a:pt x="0" y="0"/>
                              </a:moveTo>
                              <a:lnTo>
                                <a:pt x="2895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52pt;margin-top:12.775932pt;width:228pt;height:.1pt;mso-position-horizontal-relative:page;mso-position-vertical-relative:paragraph;z-index:-15728640;mso-wrap-distance-left:0;mso-wrap-distance-right:0" id="docshape3" coordorigin="5040,256" coordsize="4560,0" path="m5040,256l9600,256e" filled="false" stroked="true" strokeweight=".48pt" strokecolor="#000000">
                <v:path arrowok="t"/>
                <v:stroke dashstyle="solid"/>
                <w10:wrap type="topAndBottom"/>
              </v:shape>
            </w:pict>
          </mc:Fallback>
        </mc:AlternateContent>
      </w:r>
    </w:p>
    <w:p>
      <w:pPr>
        <w:pStyle w:val="BodyText"/>
        <w:ind w:left="5400"/>
      </w:pPr>
      <w:r>
        <w:rPr/>
        <w:t>AUTHORIZED</w:t>
      </w:r>
      <w:r>
        <w:rPr>
          <w:spacing w:val="2"/>
        </w:rPr>
        <w:t> </w:t>
      </w:r>
      <w:r>
        <w:rPr>
          <w:spacing w:val="-2"/>
        </w:rPr>
        <w:t>REPRESENTATIVE</w:t>
      </w:r>
    </w:p>
    <w:sectPr>
      <w:pgSz w:w="12240" w:h="15840"/>
      <w:pgMar w:header="0" w:footer="806" w:top="1340" w:bottom="100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7547392">
              <wp:simplePos x="0" y="0"/>
              <wp:positionH relativeFrom="page">
                <wp:posOffset>444500</wp:posOffset>
              </wp:positionH>
              <wp:positionV relativeFrom="page">
                <wp:posOffset>9406974</wp:posOffset>
              </wp:positionV>
              <wp:extent cx="780415"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780415" cy="194310"/>
                      </a:xfrm>
                      <a:prstGeom prst="rect">
                        <a:avLst/>
                      </a:prstGeom>
                    </wps:spPr>
                    <wps:txbx>
                      <w:txbxContent>
                        <w:p>
                          <w:pPr>
                            <w:pStyle w:val="BodyText"/>
                            <w:spacing w:before="10"/>
                            <w:ind w:left="20"/>
                          </w:pPr>
                          <w:r>
                            <w:rPr>
                              <w:spacing w:val="-2"/>
                            </w:rPr>
                            <w:t>52142(7/13)</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5pt;margin-top:740.706665pt;width:61.45pt;height:15.3pt;mso-position-horizontal-relative:page;mso-position-vertical-relative:page;z-index:-15769088" type="#_x0000_t202" id="docshape1" filled="false" stroked="false">
              <v:textbox inset="0,0,0,0">
                <w:txbxContent>
                  <w:p>
                    <w:pPr>
                      <w:pStyle w:val="BodyText"/>
                      <w:spacing w:before="10"/>
                      <w:ind w:left="20"/>
                    </w:pPr>
                    <w:r>
                      <w:rPr>
                        <w:spacing w:val="-2"/>
                      </w:rPr>
                      <w:t>52142(7/13)</w:t>
                    </w:r>
                  </w:p>
                </w:txbxContent>
              </v:textbox>
              <w10:wrap type="none"/>
            </v:shape>
          </w:pict>
        </mc:Fallback>
      </mc:AlternateContent>
    </w:r>
    <w:r>
      <w:rPr>
        <w:sz w:val="20"/>
      </w:rPr>
      <mc:AlternateContent>
        <mc:Choice Requires="wps">
          <w:drawing>
            <wp:anchor distT="0" distB="0" distL="0" distR="0" allowOverlap="1" layoutInCell="1" locked="0" behindDoc="1" simplePos="0" relativeHeight="487547904">
              <wp:simplePos x="0" y="0"/>
              <wp:positionH relativeFrom="page">
                <wp:posOffset>2959100</wp:posOffset>
              </wp:positionH>
              <wp:positionV relativeFrom="page">
                <wp:posOffset>9406974</wp:posOffset>
              </wp:positionV>
              <wp:extent cx="717550"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717550" cy="194310"/>
                      </a:xfrm>
                      <a:prstGeom prst="rect">
                        <a:avLst/>
                      </a:prstGeom>
                    </wps:spPr>
                    <wps:txbx>
                      <w:txbxContent>
                        <w:p>
                          <w:pPr>
                            <w:pStyle w:val="BodyText"/>
                            <w:spacing w:before="10"/>
                            <w:ind w:left="20"/>
                          </w:pPr>
                          <w:r>
                            <w:rPr/>
                            <w:t>Page </w:t>
                          </w:r>
                          <w:r>
                            <w:rPr/>
                            <w:fldChar w:fldCharType="begin"/>
                          </w:r>
                          <w:r>
                            <w:rPr/>
                            <w:instrText> PAGE </w:instrText>
                          </w:r>
                          <w:r>
                            <w:rPr/>
                            <w:fldChar w:fldCharType="separate"/>
                          </w:r>
                          <w:r>
                            <w:rPr/>
                            <w:t>1</w:t>
                          </w:r>
                          <w:r>
                            <w:rPr/>
                            <w:fldChar w:fldCharType="end"/>
                          </w:r>
                          <w:r>
                            <w:rPr>
                              <w:spacing w:val="2"/>
                            </w:rPr>
                            <w:t> </w:t>
                          </w:r>
                          <w:r>
                            <w:rPr/>
                            <w:t>of</w:t>
                          </w:r>
                          <w:r>
                            <w:rPr>
                              <w:spacing w:val="-1"/>
                            </w:rPr>
                            <w:t> </w:t>
                          </w:r>
                          <w:r>
                            <w:rPr>
                              <w:spacing w:val="-10"/>
                            </w:rPr>
                            <w:fldChar w:fldCharType="begin"/>
                          </w:r>
                          <w:r>
                            <w:rPr>
                              <w:spacing w:val="-10"/>
                            </w:rPr>
                            <w:instrText> NUMPAGES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 style="position:absolute;margin-left:233pt;margin-top:740.706665pt;width:56.5pt;height:15.3pt;mso-position-horizontal-relative:page;mso-position-vertical-relative:page;z-index:-15768576" type="#_x0000_t202" id="docshape2" filled="false" stroked="false">
              <v:textbox inset="0,0,0,0">
                <w:txbxContent>
                  <w:p>
                    <w:pPr>
                      <w:pStyle w:val="BodyText"/>
                      <w:spacing w:before="10"/>
                      <w:ind w:left="20"/>
                    </w:pPr>
                    <w:r>
                      <w:rPr/>
                      <w:t>Page </w:t>
                    </w:r>
                    <w:r>
                      <w:rPr/>
                      <w:fldChar w:fldCharType="begin"/>
                    </w:r>
                    <w:r>
                      <w:rPr/>
                      <w:instrText> PAGE </w:instrText>
                    </w:r>
                    <w:r>
                      <w:rPr/>
                      <w:fldChar w:fldCharType="separate"/>
                    </w:r>
                    <w:r>
                      <w:rPr/>
                      <w:t>1</w:t>
                    </w:r>
                    <w:r>
                      <w:rPr/>
                      <w:fldChar w:fldCharType="end"/>
                    </w:r>
                    <w:r>
                      <w:rPr>
                        <w:spacing w:val="2"/>
                      </w:rPr>
                      <w:t> </w:t>
                    </w:r>
                    <w:r>
                      <w:rPr/>
                      <w:t>of</w:t>
                    </w:r>
                    <w:r>
                      <w:rPr>
                        <w:spacing w:val="-1"/>
                      </w:rPr>
                      <w:t> </w:t>
                    </w:r>
                    <w:r>
                      <w:rPr>
                        <w:spacing w:val="-10"/>
                      </w:rPr>
                      <w:fldChar w:fldCharType="begin"/>
                    </w:r>
                    <w:r>
                      <w:rPr>
                        <w:spacing w:val="-10"/>
                      </w:rPr>
                      <w:instrText> NUMPAGES </w:instrText>
                    </w:r>
                    <w:r>
                      <w:rPr>
                        <w:spacing w:val="-10"/>
                      </w:rPr>
                      <w:fldChar w:fldCharType="separate"/>
                    </w:r>
                    <w:r>
                      <w:rPr>
                        <w:spacing w:val="-10"/>
                      </w:rPr>
                      <w:t>2</w:t>
                    </w:r>
                    <w:r>
                      <w:rPr>
                        <w:spacing w:val="-1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upperLetter"/>
      <w:lvlText w:val="%1."/>
      <w:lvlJc w:val="left"/>
      <w:pPr>
        <w:ind w:left="720" w:hanging="720"/>
        <w:jc w:val="left"/>
      </w:pPr>
      <w:rPr>
        <w:rFonts w:hint="default" w:ascii="Times New Roman" w:hAnsi="Times New Roman" w:eastAsia="Times New Roman" w:cs="Times New Roman"/>
        <w:b w:val="0"/>
        <w:bCs w:val="0"/>
        <w:i w:val="0"/>
        <w:iCs w:val="0"/>
        <w:spacing w:val="-1"/>
        <w:w w:val="100"/>
        <w:sz w:val="24"/>
        <w:szCs w:val="24"/>
        <w:lang w:val="en-US" w:eastAsia="en-US" w:bidi="ar-SA"/>
      </w:rPr>
    </w:lvl>
    <w:lvl w:ilvl="1">
      <w:start w:val="1"/>
      <w:numFmt w:val="decimal"/>
      <w:lvlText w:val="%2."/>
      <w:lvlJc w:val="left"/>
      <w:pPr>
        <w:ind w:left="1440" w:hanging="72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start w:val="1"/>
      <w:numFmt w:val="lowerLetter"/>
      <w:lvlText w:val="%3."/>
      <w:lvlJc w:val="left"/>
      <w:pPr>
        <w:ind w:left="2160" w:hanging="720"/>
        <w:jc w:val="left"/>
      </w:pPr>
      <w:rPr>
        <w:rFonts w:hint="default" w:ascii="Times New Roman" w:hAnsi="Times New Roman" w:eastAsia="Times New Roman" w:cs="Times New Roman"/>
        <w:b w:val="0"/>
        <w:bCs w:val="0"/>
        <w:i w:val="0"/>
        <w:iCs w:val="0"/>
        <w:spacing w:val="-1"/>
        <w:w w:val="100"/>
        <w:sz w:val="24"/>
        <w:szCs w:val="24"/>
        <w:lang w:val="en-US" w:eastAsia="en-US" w:bidi="ar-SA"/>
      </w:rPr>
    </w:lvl>
    <w:lvl w:ilvl="3">
      <w:start w:val="0"/>
      <w:numFmt w:val="bullet"/>
      <w:lvlText w:val="•"/>
      <w:lvlJc w:val="left"/>
      <w:pPr>
        <w:ind w:left="3240" w:hanging="720"/>
      </w:pPr>
      <w:rPr>
        <w:rFonts w:hint="default"/>
        <w:lang w:val="en-US" w:eastAsia="en-US" w:bidi="ar-SA"/>
      </w:rPr>
    </w:lvl>
    <w:lvl w:ilvl="4">
      <w:start w:val="0"/>
      <w:numFmt w:val="bullet"/>
      <w:lvlText w:val="•"/>
      <w:lvlJc w:val="left"/>
      <w:pPr>
        <w:ind w:left="4320" w:hanging="720"/>
      </w:pPr>
      <w:rPr>
        <w:rFonts w:hint="default"/>
        <w:lang w:val="en-US" w:eastAsia="en-US" w:bidi="ar-SA"/>
      </w:rPr>
    </w:lvl>
    <w:lvl w:ilvl="5">
      <w:start w:val="0"/>
      <w:numFmt w:val="bullet"/>
      <w:lvlText w:val="•"/>
      <w:lvlJc w:val="left"/>
      <w:pPr>
        <w:ind w:left="5400" w:hanging="720"/>
      </w:pPr>
      <w:rPr>
        <w:rFonts w:hint="default"/>
        <w:lang w:val="en-US" w:eastAsia="en-US" w:bidi="ar-SA"/>
      </w:rPr>
    </w:lvl>
    <w:lvl w:ilvl="6">
      <w:start w:val="0"/>
      <w:numFmt w:val="bullet"/>
      <w:lvlText w:val="•"/>
      <w:lvlJc w:val="left"/>
      <w:pPr>
        <w:ind w:left="6480" w:hanging="720"/>
      </w:pPr>
      <w:rPr>
        <w:rFonts w:hint="default"/>
        <w:lang w:val="en-US" w:eastAsia="en-US" w:bidi="ar-SA"/>
      </w:rPr>
    </w:lvl>
    <w:lvl w:ilvl="7">
      <w:start w:val="0"/>
      <w:numFmt w:val="bullet"/>
      <w:lvlText w:val="•"/>
      <w:lvlJc w:val="left"/>
      <w:pPr>
        <w:ind w:left="7560" w:hanging="720"/>
      </w:pPr>
      <w:rPr>
        <w:rFonts w:hint="default"/>
        <w:lang w:val="en-US" w:eastAsia="en-US" w:bidi="ar-SA"/>
      </w:rPr>
    </w:lvl>
    <w:lvl w:ilvl="8">
      <w:start w:val="0"/>
      <w:numFmt w:val="bullet"/>
      <w:lvlText w:val="•"/>
      <w:lvlJc w:val="left"/>
      <w:pPr>
        <w:ind w:left="8640" w:hanging="72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ind w:left="1440"/>
    </w:pPr>
    <w:rPr>
      <w:rFonts w:ascii="Times New Roman" w:hAnsi="Times New Roman" w:eastAsia="Times New Roman" w:cs="Times New Roman"/>
      <w:sz w:val="24"/>
      <w:szCs w:val="24"/>
      <w:lang w:val="en-US" w:eastAsia="en-US" w:bidi="ar-SA"/>
    </w:rPr>
  </w:style>
  <w:style w:styleId="Heading1" w:type="paragraph">
    <w:name w:val="Heading 1"/>
    <w:basedOn w:val="Normal"/>
    <w:uiPriority w:val="1"/>
    <w:qFormat/>
    <w:pPr>
      <w:spacing w:before="68"/>
      <w:ind w:right="366"/>
      <w:jc w:val="center"/>
      <w:outlineLvl w:val="1"/>
    </w:pPr>
    <w:rPr>
      <w:rFonts w:ascii="Times New Roman" w:hAnsi="Times New Roman" w:eastAsia="Times New Roman" w:cs="Times New Roman"/>
      <w:b/>
      <w:bCs/>
      <w:sz w:val="24"/>
      <w:szCs w:val="24"/>
      <w:lang w:val="en-US" w:eastAsia="en-US" w:bidi="ar-SA"/>
    </w:rPr>
  </w:style>
  <w:style w:styleId="ListParagraph" w:type="paragraph">
    <w:name w:val="List Paragraph"/>
    <w:basedOn w:val="Normal"/>
    <w:uiPriority w:val="1"/>
    <w:qFormat/>
    <w:pPr>
      <w:spacing w:before="240"/>
      <w:ind w:left="1440" w:hanging="720"/>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AIG</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dc:creator>
  <dcterms:created xsi:type="dcterms:W3CDTF">2025-08-22T17:31:07Z</dcterms:created>
  <dcterms:modified xsi:type="dcterms:W3CDTF">2025-08-22T17:31:07Z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tive Products">
    <vt:lpwstr>33;#Executive Shield;#121;#Advisor Risk Protector;#1;#Association Professional Liability (APL);#131;#Bank Card Protector;#2;#Bankers Professional Liability (BPL) Broad Form;#134;#Bankers Professional Liability (BPL) Named Peril;#127;#Broker Dealer-Guard (</vt:lpwstr>
  </property>
  <property fmtid="{D5CDD505-2E9C-101B-9397-08002B2CF9AE}" pid="3" name="Americas Regions">
    <vt:lpwstr>1;#</vt:lpwstr>
  </property>
  <property fmtid="{D5CDD505-2E9C-101B-9397-08002B2CF9AE}" pid="4" name="Created">
    <vt:filetime>2025-06-04T00:00:00Z</vt:filetime>
  </property>
  <property fmtid="{D5CDD505-2E9C-101B-9397-08002B2CF9AE}" pid="5" name="Creator">
    <vt:lpwstr>Acrobat PDFMaker 25 for Word</vt:lpwstr>
  </property>
  <property fmtid="{D5CDD505-2E9C-101B-9397-08002B2CF9AE}" pid="6" name="Docushare Comments">
    <vt:lpwstr/>
  </property>
  <property fmtid="{D5CDD505-2E9C-101B-9397-08002B2CF9AE}" pid="7" name="Edition Date">
    <vt:lpwstr>(7/13)</vt:lpwstr>
  </property>
  <property fmtid="{D5CDD505-2E9C-101B-9397-08002B2CF9AE}" pid="8" name="Form #">
    <vt:lpwstr>52142</vt:lpwstr>
  </property>
  <property fmtid="{D5CDD505-2E9C-101B-9397-08002B2CF9AE}" pid="9" name="Hidden">
    <vt:lpwstr>No</vt:lpwstr>
  </property>
  <property fmtid="{D5CDD505-2E9C-101B-9397-08002B2CF9AE}" pid="10" name="IconOverlay">
    <vt:lpwstr/>
  </property>
  <property fmtid="{D5CDD505-2E9C-101B-9397-08002B2CF9AE}" pid="11" name="Item End Date">
    <vt:lpwstr>2050-01-01T00:00:00Z</vt:lpwstr>
  </property>
  <property fmtid="{D5CDD505-2E9C-101B-9397-08002B2CF9AE}" pid="12" name="LastSaved">
    <vt:filetime>2025-08-22T00:00:00Z</vt:filetime>
  </property>
  <property fmtid="{D5CDD505-2E9C-101B-9397-08002B2CF9AE}" pid="13" name="Link Type">
    <vt:lpwstr/>
  </property>
  <property fmtid="{D5CDD505-2E9C-101B-9397-08002B2CF9AE}" pid="14" name="Order">
    <vt:lpwstr>321500.000000000</vt:lpwstr>
  </property>
  <property fmtid="{D5CDD505-2E9C-101B-9397-08002B2CF9AE}" pid="15" name="Policy Form Type">
    <vt:lpwstr>7</vt:lpwstr>
  </property>
  <property fmtid="{D5CDD505-2E9C-101B-9397-08002B2CF9AE}" pid="16" name="Producer">
    <vt:lpwstr>Adobe PDF Library 25.1.211</vt:lpwstr>
  </property>
  <property fmtid="{D5CDD505-2E9C-101B-9397-08002B2CF9AE}" pid="17" name="Product Content Category">
    <vt:lpwstr/>
  </property>
  <property fmtid="{D5CDD505-2E9C-101B-9397-08002B2CF9AE}" pid="18" name="RED">
    <vt:lpwstr>0</vt:lpwstr>
  </property>
  <property fmtid="{D5CDD505-2E9C-101B-9397-08002B2CF9AE}" pid="19" name="Rater Version Name">
    <vt:lpwstr/>
  </property>
  <property fmtid="{D5CDD505-2E9C-101B-9397-08002B2CF9AE}" pid="20" name="SourceModified">
    <vt:lpwstr>D:20250529130200</vt:lpwstr>
  </property>
  <property fmtid="{D5CDD505-2E9C-101B-9397-08002B2CF9AE}" pid="21" name="State Rules">
    <vt:lpwstr/>
  </property>
  <property fmtid="{D5CDD505-2E9C-101B-9397-08002B2CF9AE}" pid="22" name="TaxCatchAll">
    <vt:lpwstr/>
  </property>
  <property fmtid="{D5CDD505-2E9C-101B-9397-08002B2CF9AE}" pid="23" name="TemplateUrl">
    <vt:lpwstr/>
  </property>
  <property fmtid="{D5CDD505-2E9C-101B-9397-08002B2CF9AE}" pid="24" name="URL">
    <vt:lpwstr/>
  </property>
  <property fmtid="{D5CDD505-2E9C-101B-9397-08002B2CF9AE}" pid="25" name="US Div #s">
    <vt:lpwstr/>
  </property>
  <property fmtid="{D5CDD505-2E9C-101B-9397-08002B2CF9AE}" pid="26" name="US Divisions1">
    <vt:lpwstr>10;#;#4;#;#12;#;#13;#;#5;#;#2;#;#1;#;#11;#</vt:lpwstr>
  </property>
  <property fmtid="{D5CDD505-2E9C-101B-9397-08002B2CF9AE}" pid="27" name="US States">
    <vt:lpwstr>16;#</vt:lpwstr>
  </property>
  <property fmtid="{D5CDD505-2E9C-101B-9397-08002B2CF9AE}" pid="28" name="_SharedFileIndex">
    <vt:lpwstr/>
  </property>
  <property fmtid="{D5CDD505-2E9C-101B-9397-08002B2CF9AE}" pid="29" name="_SourceUrl">
    <vt:lpwstr/>
  </property>
  <property fmtid="{D5CDD505-2E9C-101B-9397-08002B2CF9AE}" pid="30" name="display_urn:schemas-microsoft-com:office:office#Author">
    <vt:lpwstr>Ponce, Jorge</vt:lpwstr>
  </property>
  <property fmtid="{D5CDD505-2E9C-101B-9397-08002B2CF9AE}" pid="31" name="display_urn:schemas-microsoft-com:office:office#Editor">
    <vt:lpwstr>McCabe, Kathleen</vt:lpwstr>
  </property>
  <property fmtid="{D5CDD505-2E9C-101B-9397-08002B2CF9AE}" pid="32" name="xd_ProgID">
    <vt:lpwstr/>
  </property>
</Properties>
</file>